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ind w:hanging="0" w:left="0" w:right="0"/>
        <w:jc w:val="center"/>
        <w:rPr/>
      </w:pPr>
      <w:r>
        <w:rPr>
          <w:rFonts w:cs="Arial" w:ascii="Verdana" w:hAnsi="Verdana"/>
          <w:b/>
          <w:bCs/>
          <w:smallCaps/>
          <w:color w:val="000000"/>
          <w:sz w:val="28"/>
          <w:szCs w:val="28"/>
        </w:rPr>
        <w:t xml:space="preserve">EDITAL </w:t>
      </w:r>
    </w:p>
    <w:p>
      <w:pPr>
        <w:pStyle w:val="Normal"/>
        <w:spacing w:lineRule="auto" w:line="276" w:before="57" w:after="57"/>
        <w:ind w:hanging="0" w:left="0" w:right="0"/>
        <w:jc w:val="center"/>
        <w:rPr/>
      </w:pPr>
      <w:r>
        <w:rPr>
          <w:rFonts w:cs="Arial" w:ascii="Verdana" w:hAnsi="Verdana"/>
          <w:b/>
          <w:bCs/>
          <w:smallCaps/>
          <w:color w:val="000000"/>
          <w:sz w:val="28"/>
          <w:szCs w:val="28"/>
        </w:rPr>
        <w:t>PREGÃO ELETRÔNICO Nº 019/2025</w:t>
      </w:r>
    </w:p>
    <w:p>
      <w:pPr>
        <w:pStyle w:val="Normal"/>
        <w:spacing w:lineRule="auto" w:line="276" w:before="57" w:after="57"/>
        <w:ind w:hanging="0" w:left="0" w:right="0"/>
        <w:jc w:val="center"/>
        <w:rPr/>
      </w:pPr>
      <w:r>
        <w:rPr>
          <w:rFonts w:cs="Arial" w:ascii="Verdana" w:hAnsi="Verdana"/>
          <w:b/>
          <w:bCs/>
          <w:smallCaps/>
          <w:color w:val="000000"/>
          <w:sz w:val="28"/>
          <w:szCs w:val="28"/>
        </w:rPr>
        <w:t>(Processo Administrativo n° 001825/2025 de 11/03/2024)</w:t>
      </w:r>
    </w:p>
    <w:p>
      <w:pPr>
        <w:pStyle w:val="Normal"/>
        <w:spacing w:lineRule="auto" w:line="276" w:before="57" w:after="57"/>
        <w:ind w:hanging="0" w:left="0" w:right="0"/>
        <w:jc w:val="center"/>
        <w:rPr>
          <w:sz w:val="20"/>
          <w:szCs w:val="20"/>
        </w:rPr>
      </w:pPr>
      <w:r>
        <w:rPr>
          <w:sz w:val="20"/>
          <w:szCs w:val="20"/>
        </w:rPr>
      </w:r>
    </w:p>
    <w:p>
      <w:pPr>
        <w:pStyle w:val="BodyText"/>
        <w:spacing w:lineRule="auto" w:line="276" w:before="57" w:after="57"/>
        <w:ind w:hanging="0" w:left="0" w:right="0"/>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ind w:hanging="0" w:left="0" w:righ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ind w:hanging="0" w:left="0" w:right="0"/>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15</w:t>
      </w:r>
      <w:r>
        <w:rPr>
          <w:rFonts w:cs="Arial" w:ascii="Verdana" w:hAnsi="Verdana"/>
          <w:b/>
          <w:bCs/>
          <w:color w:val="000000"/>
          <w:sz w:val="20"/>
          <w:szCs w:val="20"/>
        </w:rPr>
        <w:t>/</w:t>
      </w:r>
      <w:r>
        <w:rPr>
          <w:rFonts w:cs="Arial" w:ascii="Verdana" w:hAnsi="Verdana"/>
          <w:b/>
          <w:bCs/>
          <w:color w:val="000000"/>
          <w:sz w:val="20"/>
          <w:szCs w:val="20"/>
        </w:rPr>
        <w:t>05</w:t>
      </w:r>
      <w:r>
        <w:rPr>
          <w:rFonts w:cs="Arial" w:ascii="Verdana" w:hAnsi="Verdana"/>
          <w:b/>
          <w:bCs/>
          <w:color w:val="000000"/>
          <w:sz w:val="20"/>
          <w:szCs w:val="20"/>
        </w:rPr>
        <w:t>/2025.</w:t>
      </w:r>
    </w:p>
    <w:p>
      <w:pPr>
        <w:pStyle w:val="Normal"/>
        <w:spacing w:lineRule="auto" w:line="276" w:before="57" w:after="57"/>
        <w:ind w:hanging="0" w:left="0" w:right="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ind w:hanging="0" w:left="0" w:right="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ind w:hanging="0" w:left="0" w:right="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ind w:hanging="0" w:left="0" w:right="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ight="0"/>
        <w:rPr/>
      </w:pPr>
      <w:r>
        <w:rPr>
          <w:rFonts w:cs="Arial" w:ascii="Verdana" w:hAnsi="Verdana"/>
        </w:rPr>
        <w:t>DO OBJETO</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1.1 O objeto da presente licitação é a </w:t>
      </w:r>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1" w:name="_Hlk148958481"/>
      <w:r>
        <w:rPr>
          <w:rFonts w:eastAsia="Batang;바탕" w:cs="Arial" w:ascii="Verdana" w:hAnsi="Verdana"/>
          <w:iCs/>
          <w:sz w:val="20"/>
          <w:szCs w:val="20"/>
        </w:rPr>
        <w:t xml:space="preserve">aquisição </w:t>
      </w:r>
      <w:r>
        <w:rPr>
          <w:rFonts w:ascii="Verdana" w:hAnsi="Verdana"/>
          <w:iCs/>
          <w:sz w:val="20"/>
        </w:rPr>
        <w:t xml:space="preserve">de </w:t>
      </w:r>
      <w:bookmarkEnd w:id="1"/>
      <w:r>
        <w:rPr>
          <w:rFonts w:ascii="Verdana" w:hAnsi="Verdana"/>
          <w:iCs/>
          <w:sz w:val="20"/>
        </w:rPr>
        <w:t xml:space="preserve">solução fisiológica (soro) para atender a demanda das unidades Básicas de Saúde da Secretaria de Saúde,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ind w:hanging="0" w:left="0" w:right="0"/>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76" w:before="57" w:after="57"/>
        <w:ind w:hanging="0" w:left="0" w:right="0"/>
        <w:jc w:val="both"/>
        <w:rPr>
          <w:sz w:val="16"/>
          <w:szCs w:val="16"/>
        </w:rPr>
      </w:pPr>
      <w:r>
        <w:rPr>
          <w:sz w:val="16"/>
          <w:szCs w:val="16"/>
        </w:rPr>
      </w:r>
    </w:p>
    <w:p>
      <w:pPr>
        <w:pStyle w:val="Nivel01"/>
        <w:numPr>
          <w:ilvl w:val="0"/>
          <w:numId w:val="2"/>
        </w:numPr>
        <w:spacing w:lineRule="auto" w:line="276" w:before="57" w:after="57"/>
        <w:ind w:hanging="0" w:left="0" w:right="0"/>
        <w:rPr/>
      </w:pPr>
      <w:r>
        <w:rPr>
          <w:rFonts w:cs="Arial" w:ascii="Verdana" w:hAnsi="Verdana"/>
        </w:rPr>
        <w:t xml:space="preserve">DO REGISTRO DE PREÇOS </w:t>
      </w:r>
    </w:p>
    <w:p>
      <w:pPr>
        <w:pStyle w:val="Normal"/>
        <w:spacing w:lineRule="auto" w:line="276" w:before="57" w:after="57"/>
        <w:ind w:hanging="0" w:left="0" w:right="0"/>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57" w:after="57"/>
        <w:ind w:hanging="0" w:left="0" w:right="0"/>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76" w:before="57" w:after="57"/>
        <w:ind w:hanging="0" w:left="0" w:right="0"/>
        <w:rPr>
          <w:rFonts w:ascii="Verdana" w:hAnsi="Verdana"/>
        </w:rPr>
      </w:pPr>
      <w:r>
        <w:rPr>
          <w:rFonts w:ascii="Verdana" w:hAnsi="Verdana"/>
        </w:rPr>
      </w:r>
    </w:p>
    <w:p>
      <w:pPr>
        <w:pStyle w:val="Nivel01"/>
        <w:numPr>
          <w:ilvl w:val="0"/>
          <w:numId w:val="2"/>
        </w:numPr>
        <w:spacing w:lineRule="auto" w:line="276" w:before="57" w:after="57"/>
        <w:ind w:hanging="0" w:left="0" w:right="0"/>
        <w:rPr/>
      </w:pPr>
      <w:r>
        <w:rPr>
          <w:rFonts w:cs="Arial" w:ascii="Verdana" w:hAnsi="Verdana"/>
        </w:rPr>
        <w:t>DO CREDENCIAMENTO</w:t>
      </w:r>
    </w:p>
    <w:p>
      <w:pPr>
        <w:pStyle w:val="Default"/>
        <w:spacing w:lineRule="auto" w:line="276" w:before="57" w:after="57"/>
        <w:ind w:hanging="0" w:left="0" w:right="0"/>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ind w:hanging="0" w:left="0" w:right="0"/>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ind w:hanging="0" w:left="0" w:right="0"/>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ind w:hanging="0" w:left="0" w:right="0"/>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ind w:hanging="0" w:left="0" w:right="0"/>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ind w:hanging="0" w:left="0" w:right="0"/>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rPr>
        <w:t>DA PARTICIPAÇÃO NO PREGÃO.</w:t>
      </w:r>
    </w:p>
    <w:p>
      <w:pPr>
        <w:pStyle w:val="Normal"/>
        <w:spacing w:lineRule="auto" w:line="276" w:before="57" w:after="57"/>
        <w:ind w:hanging="0" w:left="0" w:right="0"/>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ind w:hanging="0" w:left="0" w:right="0"/>
        <w:jc w:val="both"/>
        <w:rPr>
          <w:b/>
          <w:bCs/>
          <w:highlight w:val="none"/>
          <w:shd w:fill="FFFF00" w:val="clear"/>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85" w:after="85"/>
        <w:jc w:val="both"/>
        <w:rPr/>
      </w:pPr>
      <w:r>
        <w:rPr>
          <w:rStyle w:val="InternetLink"/>
          <w:rFonts w:cs="Arial" w:ascii="Verdana" w:hAnsi="Verdana"/>
          <w:b w:val="false"/>
          <w:bCs w:val="false"/>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85" w:after="85"/>
        <w:jc w:val="both"/>
        <w:rPr>
          <w:rStyle w:val="InternetLink"/>
          <w:rFonts w:ascii="Verdana" w:hAnsi="Verdana" w:cs="Arial"/>
          <w:b/>
          <w:bCs/>
          <w:iCs/>
          <w:color w:val="000000"/>
          <w:sz w:val="20"/>
          <w:szCs w:val="20"/>
          <w:u w:val="none"/>
          <w:shd w:fill="FFFF00" w:val="clear"/>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pacing w:lineRule="auto" w:line="276" w:before="85" w:after="85"/>
        <w:jc w:val="both"/>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lineRule="auto" w:line="276" w:before="85" w:after="85"/>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85" w:after="85"/>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85" w:after="85"/>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85" w:after="85"/>
        <w:jc w:val="both"/>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76" w:before="85" w:after="85"/>
        <w:jc w:val="both"/>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76" w:before="85" w:after="85"/>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76" w:before="85" w:after="85"/>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85" w:after="85"/>
        <w:jc w:val="both"/>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before="85" w:after="85"/>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85" w:after="85"/>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85" w:after="85"/>
        <w:ind w:hanging="0" w:left="0"/>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85" w:after="85"/>
        <w:ind w:hanging="0" w:left="0"/>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85" w:after="85"/>
        <w:ind w:hanging="0" w:left="0"/>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85" w:after="85"/>
        <w:ind w:hanging="0" w:left="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76" w:before="57" w:after="57"/>
        <w:ind w:hanging="0" w:left="0" w:righ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igh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righ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righ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righ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righ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righ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righ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righ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righ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57" w:after="57"/>
        <w:ind w:hanging="0" w:left="0" w:righ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57" w:after="57"/>
        <w:ind w:hanging="0" w:left="0" w:righ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57" w:after="57"/>
        <w:ind w:hanging="0" w:left="0" w:right="0"/>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57" w:after="57"/>
        <w:ind w:hanging="0" w:left="0" w:righ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57" w:after="57"/>
        <w:ind w:hanging="0" w:left="0" w:righ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57" w:after="57"/>
        <w:ind w:hanging="0" w:left="0" w:righ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57" w:after="57"/>
        <w:ind w:hanging="0" w:left="0" w:righ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57" w:after="57"/>
        <w:ind w:hanging="0" w:left="0" w:righ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57" w:after="57"/>
        <w:ind w:hanging="0" w:left="0" w:righ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76" w:before="57" w:after="57"/>
        <w:ind w:hanging="0" w:left="0" w:righ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57" w:after="57"/>
        <w:ind w:hanging="0" w:left="0" w:righ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57" w:after="57"/>
        <w:ind w:hanging="0" w:left="0" w:righ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57" w:after="57"/>
        <w:ind w:hanging="0" w:left="0" w:right="0"/>
        <w:contextualSpacing w:val="false"/>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76" w:before="57" w:after="57"/>
        <w:ind w:hanging="0" w:left="0" w:righ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righ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righ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ind w:hanging="0" w:left="0" w:right="0"/>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ind w:hanging="0" w:left="0" w:right="0"/>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ind w:hanging="0" w:left="0" w:right="0"/>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ind w:hanging="0" w:left="0" w:right="0"/>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76" w:before="57" w:after="57"/>
        <w:ind w:hanging="0" w:left="0" w:righ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righ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righ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57" w:after="57"/>
        <w:ind w:hanging="0" w:left="0" w:right="0"/>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57" w:after="57"/>
        <w:ind w:hanging="0" w:left="0" w:right="0"/>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57" w:after="57"/>
        <w:ind w:hanging="0" w:left="0" w:right="0"/>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57" w:after="57"/>
        <w:ind w:hanging="0" w:left="0" w:right="0"/>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57" w:after="57"/>
        <w:ind w:hanging="0" w:left="0" w:right="0"/>
        <w:jc w:val="both"/>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ind w:hanging="0" w:left="0" w:right="0"/>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ind w:hanging="0" w:left="0" w:right="0"/>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ind w:hanging="0" w:left="0" w:right="0"/>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ind w:hanging="0" w:left="0" w:right="0"/>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ind w:hanging="0" w:left="0" w:right="0"/>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ind w:hanging="0" w:left="0" w:right="0"/>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ind w:hanging="0" w:left="0" w:right="0"/>
        <w:jc w:val="both"/>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ind w:hanging="0" w:left="0" w:right="0"/>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ind w:hanging="0" w:left="0" w:right="0"/>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ind w:hanging="0" w:left="0" w:right="0"/>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ind w:hanging="0" w:left="0" w:right="0"/>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ind w:hanging="0" w:left="0" w:right="0"/>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ind w:hanging="0" w:left="0" w:right="0"/>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ind w:hanging="0" w:left="0" w:right="0"/>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ind w:hanging="0" w:left="0" w:right="0"/>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ind w:hanging="0" w:left="0" w:right="0"/>
        <w:jc w:val="both"/>
        <w:rPr/>
      </w:pPr>
      <w:r>
        <w:rPr>
          <w:rFonts w:cs="Arial" w:ascii="Verdana" w:hAnsi="Verdana"/>
          <w:color w:val="000000"/>
          <w:sz w:val="20"/>
          <w:szCs w:val="20"/>
          <w:lang w:eastAsia="en-US"/>
        </w:rPr>
        <w:t>7.25.3 Por empresas brasileiras;</w:t>
      </w:r>
    </w:p>
    <w:p>
      <w:pPr>
        <w:pStyle w:val="Normal"/>
        <w:spacing w:lineRule="auto" w:line="276" w:before="57" w:after="57"/>
        <w:ind w:hanging="0" w:left="0" w:right="0"/>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ind w:hanging="0" w:left="0" w:right="0"/>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ind w:hanging="0" w:left="0" w:right="0"/>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ind w:hanging="0" w:left="0" w:right="0"/>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righ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hanging="0" w:left="0" w:righ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hanging="0" w:left="0" w:righ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hanging="0" w:left="0" w:righ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igh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righ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ind w:hanging="0" w:left="0" w:right="0"/>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ind w:hanging="0" w:left="0" w:right="0"/>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ind w:hanging="0" w:left="0" w:right="0"/>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76" w:before="57" w:after="57"/>
        <w:ind w:hanging="0" w:left="0" w:righ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ind w:hanging="0" w:left="0" w:right="0"/>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righ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righ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ind w:hanging="0" w:left="0" w:right="0"/>
        <w:jc w:val="both"/>
        <w:rPr>
          <w:rFonts w:cs="Arial"/>
          <w:color w:val="000000"/>
        </w:rPr>
      </w:pPr>
      <w:r>
        <w:rPr>
          <w:rFonts w:cs="Arial"/>
          <w:color w:val="000000"/>
        </w:rPr>
      </w:r>
    </w:p>
    <w:p>
      <w:pPr>
        <w:pStyle w:val="Nivel01"/>
        <w:numPr>
          <w:ilvl w:val="0"/>
          <w:numId w:val="2"/>
        </w:numPr>
        <w:spacing w:lineRule="auto" w:line="276" w:before="57" w:after="57"/>
        <w:ind w:hanging="0" w:left="0" w:righ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igh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a) SICAF;</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ind w:hanging="0" w:left="0" w:righ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ind w:hanging="0" w:left="0" w:righ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ind w:hanging="0" w:left="0" w:right="0"/>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righ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righ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righ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righ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righ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right="0"/>
        <w:contextualSpacing w:val="false"/>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right="0"/>
        <w:contextualSpacing w:val="false"/>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right="0"/>
        <w:contextualSpacing w:val="false"/>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right="0"/>
        <w:contextualSpacing w:val="false"/>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right="0"/>
        <w:contextualSpacing w:val="false"/>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righ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righ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righ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righ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righ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righ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righ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righ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righ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righ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righ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57" w:after="57"/>
        <w:ind w:hanging="0" w:left="0" w:right="0"/>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ind w:hanging="0" w:left="0" w:right="0"/>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righ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righ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righ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righ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righ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righ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hanging="0" w:left="0" w:righ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igh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righ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righ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righ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righ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righ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righ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righ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hanging="0" w:left="0" w:righ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ight="0"/>
        <w:rPr/>
      </w:pPr>
      <w:r>
        <w:rPr>
          <w:rFonts w:cs="Arial" w:ascii="Verdana" w:hAnsi="Verdana"/>
          <w:lang w:eastAsia="en-US"/>
        </w:rPr>
        <w:t>DOS RECURSOS</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righ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hanging="0" w:left="0" w:righ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igh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igh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igh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ind w:hanging="0" w:left="0" w:right="0"/>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ight="0"/>
        <w:rPr/>
      </w:pPr>
      <w:r>
        <w:rPr>
          <w:rFonts w:cs="Arial" w:ascii="Verdana" w:hAnsi="Verdana"/>
        </w:rPr>
        <w:t xml:space="preserve">DA ADJUDICAÇÃO E HOMOLOGAÇÃO </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color w:val="auto"/>
        </w:rPr>
        <w:t xml:space="preserve">DA GARANTIA DE EXECUÇÃO </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57" w:after="57"/>
        <w:ind w:hanging="0" w:left="0" w:righ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57" w:after="57"/>
        <w:ind w:hanging="0" w:left="0" w:righ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57" w:after="57"/>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hanging="0" w:left="0" w:righ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57" w:after="57"/>
        <w:ind w:hanging="0" w:left="0" w:righ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57" w:after="57"/>
        <w:ind w:hanging="0" w:left="0" w:righ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57" w:after="57"/>
        <w:ind w:hanging="0" w:left="0" w:righ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57" w:after="57"/>
        <w:ind w:hanging="0" w:left="0" w:righ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57" w:after="57"/>
        <w:ind w:hanging="0" w:left="0" w:righ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76" w:before="57" w:after="57"/>
        <w:ind w:hanging="0" w:left="0" w:righ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hanging="0" w:left="0" w:righ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ind w:hanging="0" w:left="0" w:right="0"/>
        <w:rPr/>
      </w:pPr>
      <w:r>
        <w:rPr>
          <w:rFonts w:cs="Arial" w:ascii="Verdana" w:hAnsi="Verdana"/>
        </w:rPr>
        <w:t>16. DO REAJUSTAMENTO EM SENTIDO GERAL</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rPr>
        <w:t>17. DA ACEITAÇÃO DO OBJETO E DA FISCALIZAÇÃO</w:t>
      </w:r>
    </w:p>
    <w:p>
      <w:pPr>
        <w:pStyle w:val="ListParagraph"/>
        <w:spacing w:lineRule="auto" w:line="276" w:before="57" w:after="57"/>
        <w:ind w:hanging="0" w:left="0" w:righ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lang w:eastAsia="en-US"/>
        </w:rPr>
        <w:t>18. DAS OBRIGAÇÕES DA CONTRATANTE E DA CONTRATADA</w:t>
      </w:r>
    </w:p>
    <w:p>
      <w:pPr>
        <w:pStyle w:val="ListParagraph"/>
        <w:spacing w:lineRule="auto" w:line="276" w:before="57" w:after="57"/>
        <w:ind w:hanging="0" w:left="0" w:right="0"/>
        <w:contextualSpacing w:val="false"/>
        <w:jc w:val="both"/>
        <w:rPr/>
      </w:pPr>
      <w:r>
        <w:rPr>
          <w:rFonts w:cs="Arial" w:ascii="Verdana" w:hAnsi="Verdana"/>
          <w:b w:val="false"/>
          <w:bCs w:val="false"/>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Tahoma" w:ascii="Verdana" w:hAnsi="Verdana"/>
          <w:color w:val="auto"/>
        </w:rPr>
        <w:t>19</w:t>
      </w:r>
      <w:r>
        <w:rPr>
          <w:rFonts w:cs="Arial" w:ascii="Verdana" w:hAnsi="Verdana"/>
        </w:rPr>
        <w:t>. DO PAGAMENTO</w:t>
      </w:r>
    </w:p>
    <w:p>
      <w:pPr>
        <w:pStyle w:val="ListParagraph"/>
        <w:widowControl/>
        <w:suppressAutoHyphens w:val="true"/>
        <w:bidi w:val="0"/>
        <w:spacing w:lineRule="auto" w:line="276" w:before="57" w:after="57"/>
        <w:ind w:hanging="0" w:left="0" w:right="0"/>
        <w:contextualSpacing w:val="false"/>
        <w:jc w:val="both"/>
        <w:rPr/>
      </w:pPr>
      <w:r>
        <w:rPr>
          <w:rFonts w:cs="Arial" w:ascii="Verdana" w:hAnsi="Verdana"/>
          <w:b w:val="false"/>
          <w:bCs w:val="false"/>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rPr>
        <w:t>20. DAS SANÇÕES ADMINISTRATIVAS.</w:t>
      </w:r>
    </w:p>
    <w:p>
      <w:pPr>
        <w:pStyle w:val="ListParagraph"/>
        <w:widowControl/>
        <w:suppressAutoHyphens w:val="true"/>
        <w:bidi w:val="0"/>
        <w:spacing w:lineRule="auto" w:line="276" w:before="57" w:after="57"/>
        <w:ind w:hanging="0" w:left="0" w:right="0"/>
        <w:contextualSpacing w:val="false"/>
        <w:jc w:val="both"/>
        <w:rPr/>
      </w:pPr>
      <w:r>
        <w:rPr>
          <w:rFonts w:cs="Arial" w:ascii="Verdana" w:hAnsi="Verdana"/>
          <w:b w:val="false"/>
          <w:bCs w:val="false"/>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ind w:hanging="0" w:left="0" w:right="0"/>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ind w:hanging="0" w:left="0" w:right="0"/>
        <w:jc w:val="both"/>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57" w:after="57"/>
        <w:ind w:hanging="0" w:left="0" w:right="0"/>
        <w:jc w:val="both"/>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76" w:before="57" w:after="57"/>
        <w:ind w:hanging="0" w:left="0" w:right="0"/>
        <w:jc w:val="both"/>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57" w:after="57"/>
        <w:ind w:hanging="0" w:left="0" w:right="0"/>
        <w:jc w:val="both"/>
        <w:rPr/>
      </w:pPr>
      <w:r>
        <w:rPr>
          <w:rFonts w:ascii="Verdana" w:hAnsi="Verdana"/>
          <w:sz w:val="20"/>
          <w:szCs w:val="20"/>
        </w:rPr>
        <w:t>20.1.6.1 Agir em conluio ou em desconformidade com a lei;</w:t>
      </w:r>
    </w:p>
    <w:p>
      <w:pPr>
        <w:pStyle w:val="Normal"/>
        <w:spacing w:lineRule="auto" w:line="276" w:before="57" w:after="57"/>
        <w:ind w:hanging="0" w:left="0" w:right="0"/>
        <w:jc w:val="both"/>
        <w:rPr/>
      </w:pPr>
      <w:r>
        <w:rPr>
          <w:rFonts w:ascii="Verdana" w:hAnsi="Verdana"/>
          <w:sz w:val="20"/>
          <w:szCs w:val="20"/>
        </w:rPr>
        <w:t>20.1.6.2 Induzir deliberadamente a erro no julgamento;</w:t>
      </w:r>
    </w:p>
    <w:p>
      <w:pPr>
        <w:pStyle w:val="Normal"/>
        <w:spacing w:lineRule="auto" w:line="276" w:before="57" w:after="57"/>
        <w:ind w:hanging="0" w:left="0" w:right="0"/>
        <w:jc w:val="both"/>
        <w:rPr/>
      </w:pPr>
      <w:r>
        <w:rPr>
          <w:rFonts w:ascii="Verdana" w:hAnsi="Verdana"/>
          <w:sz w:val="20"/>
          <w:szCs w:val="20"/>
        </w:rPr>
        <w:t>20.1.6.3 Apresentar amostra falsificada ou deteriorada;</w:t>
      </w:r>
    </w:p>
    <w:p>
      <w:pPr>
        <w:pStyle w:val="Normal"/>
        <w:spacing w:lineRule="auto" w:line="276" w:before="57" w:after="57"/>
        <w:ind w:hanging="0" w:left="0" w:right="0"/>
        <w:jc w:val="both"/>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57" w:after="57"/>
        <w:ind w:hanging="0" w:left="0" w:right="0"/>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5"/>
          <w:sz w:val="20"/>
          <w:u w:val="none"/>
          <w:szCs w:val="20"/>
          <w:rFonts w:ascii="Verdana" w:hAnsi="Verdana"/>
          <w:color w:val="000000"/>
        </w:rPr>
        <w:instrText xml:space="preserve"> HYPERLINK "https://www.planalto.gov.br/ccivil_03/_ato2011-2014/2013/lei/l12846.htm" \l "art5"</w:instrText>
      </w:r>
      <w:r>
        <w:rPr>
          <w:rStyle w:val="ListLabel295"/>
          <w:sz w:val="20"/>
          <w:u w:val="none"/>
          <w:szCs w:val="20"/>
          <w:rFonts w:ascii="Verdana" w:hAnsi="Verdana"/>
          <w:color w:val="000000"/>
        </w:rPr>
        <w:fldChar w:fldCharType="separate"/>
      </w:r>
      <w:r>
        <w:rPr>
          <w:rStyle w:val="ListLabel295"/>
          <w:rFonts w:ascii="Verdana" w:hAnsi="Verdana"/>
          <w:color w:val="000000"/>
          <w:sz w:val="20"/>
          <w:szCs w:val="20"/>
          <w:u w:val="none"/>
        </w:rPr>
        <w:t>art. 5º da Lei n.º 12.846, de 2013</w:t>
      </w:r>
      <w:r>
        <w:rPr>
          <w:rStyle w:val="ListLabel295"/>
          <w:sz w:val="20"/>
          <w:u w:val="none"/>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76" w:before="57" w:after="57"/>
        <w:ind w:hanging="0" w:left="0" w:righ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76" w:before="57" w:after="57"/>
        <w:ind w:hanging="0" w:left="0" w:right="0"/>
        <w:rPr/>
      </w:pPr>
      <w:r>
        <w:rPr>
          <w:rFonts w:ascii="Verdana" w:hAnsi="Verdana"/>
        </w:rPr>
        <w:t>20.2.1 advertência;</w:t>
      </w:r>
    </w:p>
    <w:p>
      <w:pPr>
        <w:pStyle w:val="Nivel2"/>
        <w:numPr>
          <w:ilvl w:val="0"/>
          <w:numId w:val="0"/>
        </w:numPr>
        <w:spacing w:lineRule="auto" w:line="276" w:before="57" w:after="57"/>
        <w:ind w:hanging="0" w:left="0" w:right="0"/>
        <w:rPr/>
      </w:pPr>
      <w:r>
        <w:rPr>
          <w:rFonts w:ascii="Verdana" w:hAnsi="Verdana"/>
        </w:rPr>
        <w:t>20.2.2 multa;</w:t>
      </w:r>
    </w:p>
    <w:p>
      <w:pPr>
        <w:pStyle w:val="Nivel2"/>
        <w:numPr>
          <w:ilvl w:val="0"/>
          <w:numId w:val="0"/>
        </w:numPr>
        <w:spacing w:lineRule="auto" w:line="276" w:before="57" w:after="57"/>
        <w:ind w:hanging="0" w:left="0" w:right="0"/>
        <w:rPr/>
      </w:pPr>
      <w:r>
        <w:rPr>
          <w:rFonts w:ascii="Verdana" w:hAnsi="Verdana"/>
        </w:rPr>
        <w:t>20.2.3 impedimento de licitar e contratar e</w:t>
      </w:r>
    </w:p>
    <w:p>
      <w:pPr>
        <w:pStyle w:val="Nivel2"/>
        <w:numPr>
          <w:ilvl w:val="0"/>
          <w:numId w:val="0"/>
        </w:numPr>
        <w:spacing w:lineRule="auto" w:line="276" w:before="57" w:after="57"/>
        <w:ind w:hanging="0" w:left="0" w:righ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76" w:before="57" w:after="57"/>
        <w:ind w:hanging="0" w:left="0" w:right="0"/>
        <w:rPr/>
      </w:pPr>
      <w:r>
        <w:rPr>
          <w:rFonts w:ascii="Verdana" w:hAnsi="Verdana"/>
        </w:rPr>
        <w:t>20.3 Na aplicação das sanções serão considerados:</w:t>
      </w:r>
    </w:p>
    <w:p>
      <w:pPr>
        <w:pStyle w:val="Nivel2"/>
        <w:numPr>
          <w:ilvl w:val="0"/>
          <w:numId w:val="0"/>
        </w:numPr>
        <w:spacing w:lineRule="auto" w:line="276" w:before="57" w:after="57"/>
        <w:ind w:hanging="0" w:left="0" w:right="0"/>
        <w:rPr/>
      </w:pPr>
      <w:r>
        <w:rPr>
          <w:rFonts w:ascii="Verdana" w:hAnsi="Verdana"/>
        </w:rPr>
        <w:t>20.3.1 a natureza e a gravidade da infração cometida.</w:t>
      </w:r>
    </w:p>
    <w:p>
      <w:pPr>
        <w:pStyle w:val="Nivel2"/>
        <w:numPr>
          <w:ilvl w:val="0"/>
          <w:numId w:val="0"/>
        </w:numPr>
        <w:spacing w:lineRule="auto" w:line="276" w:before="57" w:after="57"/>
        <w:ind w:hanging="0" w:left="0" w:right="0"/>
        <w:rPr/>
      </w:pPr>
      <w:r>
        <w:rPr>
          <w:rFonts w:ascii="Verdana" w:hAnsi="Verdana"/>
        </w:rPr>
        <w:t>20.3.2 as peculiaridades do caso concreto</w:t>
      </w:r>
    </w:p>
    <w:p>
      <w:pPr>
        <w:pStyle w:val="Nivel2"/>
        <w:numPr>
          <w:ilvl w:val="0"/>
          <w:numId w:val="0"/>
        </w:numPr>
        <w:spacing w:lineRule="auto" w:line="276" w:before="57" w:after="57"/>
        <w:ind w:hanging="0" w:left="0" w:right="0"/>
        <w:rPr/>
      </w:pPr>
      <w:r>
        <w:rPr>
          <w:rFonts w:ascii="Verdana" w:hAnsi="Verdana"/>
        </w:rPr>
        <w:t>20.3.3 as circunstâncias agravantes ou atenuantes</w:t>
      </w:r>
    </w:p>
    <w:p>
      <w:pPr>
        <w:pStyle w:val="Nivel2"/>
        <w:numPr>
          <w:ilvl w:val="0"/>
          <w:numId w:val="0"/>
        </w:numPr>
        <w:spacing w:lineRule="auto" w:line="276" w:before="57" w:after="57"/>
        <w:ind w:hanging="0" w:left="0" w:right="0"/>
        <w:rPr/>
      </w:pPr>
      <w:r>
        <w:rPr>
          <w:rFonts w:ascii="Verdana" w:hAnsi="Verdana"/>
        </w:rPr>
        <w:t>20.3.4 os danos que dela provierem para a Administração Pública</w:t>
      </w:r>
    </w:p>
    <w:p>
      <w:pPr>
        <w:pStyle w:val="Nivel2"/>
        <w:numPr>
          <w:ilvl w:val="0"/>
          <w:numId w:val="0"/>
        </w:numPr>
        <w:spacing w:lineRule="auto" w:line="276" w:before="57" w:after="57"/>
        <w:ind w:hanging="0" w:left="0" w:right="0"/>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76" w:before="57" w:after="57"/>
        <w:ind w:hanging="0" w:left="0" w:righ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76" w:before="57" w:after="57"/>
        <w:ind w:hanging="0" w:left="0" w:right="0"/>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76" w:before="57" w:after="57"/>
        <w:ind w:hanging="0" w:left="0" w:right="0"/>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76" w:before="57" w:after="57"/>
        <w:ind w:hanging="0" w:left="0" w:righ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76" w:before="57" w:after="57"/>
        <w:ind w:hanging="0" w:left="0" w:righ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76" w:before="57" w:after="57"/>
        <w:ind w:hanging="0" w:left="0" w:righ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76" w:before="57" w:after="57"/>
        <w:ind w:hanging="0" w:left="0" w:righ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u w:val="none"/>
          <w:rFonts w:ascii="Verdana" w:hAnsi="Verdana"/>
          <w:color w:val="000000"/>
        </w:rPr>
        <w:instrText xml:space="preserve"> HYPERLINK "http://www.planalto.gov.br/ccivil_03/_ato2019-2022/2021/lei/L14133.htm" \l "art156%C2%A75"</w:instrText>
      </w:r>
      <w:r>
        <w:rPr>
          <w:rStyle w:val="ListLabel296"/>
          <w:u w:val="none"/>
          <w:rFonts w:ascii="Verdana" w:hAnsi="Verdana"/>
          <w:color w:val="000000"/>
        </w:rPr>
        <w:fldChar w:fldCharType="separate"/>
      </w:r>
      <w:r>
        <w:rPr>
          <w:rStyle w:val="ListLabel296"/>
          <w:rFonts w:ascii="Verdana" w:hAnsi="Verdana"/>
          <w:color w:val="000000"/>
          <w:u w:val="none"/>
        </w:rPr>
        <w:t>art. 156, §5º, da Lei n.º 14.133/2021</w:t>
      </w:r>
      <w:r>
        <w:rPr>
          <w:rStyle w:val="ListLabel296"/>
          <w:u w:val="none"/>
          <w:rFonts w:ascii="Verdana" w:hAnsi="Verdana"/>
          <w:color w:val="000000"/>
        </w:rPr>
        <w:fldChar w:fldCharType="end"/>
      </w:r>
      <w:r>
        <w:rPr>
          <w:rFonts w:ascii="Verdana" w:hAnsi="Verdana"/>
        </w:rPr>
        <w:t>.</w:t>
      </w:r>
    </w:p>
    <w:p>
      <w:pPr>
        <w:pStyle w:val="Nivel2"/>
        <w:numPr>
          <w:ilvl w:val="0"/>
          <w:numId w:val="0"/>
        </w:numPr>
        <w:spacing w:lineRule="auto" w:line="276" w:before="57" w:after="57"/>
        <w:ind w:hanging="0" w:left="0" w:righ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u w:val="none"/>
          </w:rPr>
          <w:t>art. 45, §4º da IN SEGES/ME n.º 73, de 2022</w:t>
        </w:r>
      </w:hyperlink>
      <w:r>
        <w:rPr>
          <w:rFonts w:ascii="Verdana" w:hAnsi="Verdana"/>
        </w:rPr>
        <w:t xml:space="preserve">. </w:t>
      </w:r>
    </w:p>
    <w:p>
      <w:pPr>
        <w:pStyle w:val="Nivel2"/>
        <w:numPr>
          <w:ilvl w:val="0"/>
          <w:numId w:val="0"/>
        </w:numPr>
        <w:spacing w:lineRule="auto" w:line="276" w:before="57" w:after="57"/>
        <w:ind w:hanging="0" w:left="0" w:righ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76" w:before="57" w:after="57"/>
        <w:ind w:hanging="0" w:left="0" w:righ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76" w:before="57" w:after="57"/>
        <w:ind w:hanging="0" w:left="0" w:righ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76" w:before="57" w:after="57"/>
        <w:ind w:hanging="0" w:left="0" w:righ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76" w:before="57" w:after="57"/>
        <w:ind w:hanging="0" w:left="0" w:righ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hanging="0" w:left="0" w:righ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ind w:hanging="0" w:left="0" w:right="0"/>
        <w:rPr/>
      </w:pPr>
      <w:r>
        <w:rPr>
          <w:rFonts w:cs="Arial" w:ascii="Verdana" w:hAnsi="Verdana"/>
        </w:rPr>
        <w:t>21. DA IMPUGNAÇÃO AO EDITAL E DO PEDIDO DE ESCLARECIMENTO</w:t>
      </w:r>
    </w:p>
    <w:p>
      <w:pPr>
        <w:pStyle w:val="ListParagraph"/>
        <w:spacing w:lineRule="auto" w:line="276" w:before="57" w:after="57"/>
        <w:ind w:hanging="0" w:left="0" w:righ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rPr>
        <w:t>22. DAS DISPOSIÇÕES GERAIS</w:t>
      </w:r>
    </w:p>
    <w:p>
      <w:pPr>
        <w:pStyle w:val="Normal"/>
        <w:spacing w:lineRule="auto" w:line="276" w:before="57" w:after="57"/>
        <w:ind w:hanging="0" w:left="0" w:right="0"/>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ind w:hanging="0" w:left="0" w:right="0"/>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ind w:hanging="0" w:left="0" w:right="0"/>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ind w:hanging="0" w:left="0" w:right="0"/>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ind w:hanging="0" w:left="0" w:right="0"/>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ind w:hanging="0" w:left="0" w:right="0"/>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ind w:hanging="0" w:left="0" w:right="0"/>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ind w:hanging="0" w:left="0" w:right="0"/>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ind w:hanging="0" w:left="0" w:right="0"/>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ind w:hanging="0" w:left="0" w:right="0"/>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ind w:hanging="0" w:left="0" w:right="0"/>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ind w:hanging="0" w:left="0" w:right="0"/>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ind w:hanging="0" w:left="0" w:right="0"/>
        <w:jc w:val="both"/>
        <w:rPr/>
      </w:pPr>
      <w:r>
        <w:rPr>
          <w:rFonts w:cs="Arial" w:ascii="Verdana" w:hAnsi="Verdana"/>
          <w:color w:val="000000"/>
          <w:sz w:val="20"/>
          <w:szCs w:val="20"/>
        </w:rPr>
        <w:t>22.12.1 ANEXO I – Modelo Orientativo de Proposta;</w:t>
      </w:r>
    </w:p>
    <w:p>
      <w:pPr>
        <w:pStyle w:val="Normal"/>
        <w:spacing w:lineRule="auto" w:line="276" w:before="57" w:after="57"/>
        <w:ind w:hanging="0" w:left="0" w:right="0"/>
        <w:jc w:val="both"/>
        <w:rPr/>
      </w:pPr>
      <w:r>
        <w:rPr>
          <w:rFonts w:cs="Arial" w:ascii="Verdana" w:hAnsi="Verdana"/>
          <w:color w:val="000000"/>
          <w:sz w:val="20"/>
          <w:szCs w:val="20"/>
        </w:rPr>
        <w:t>22.12.2 ANEXO II – Termo de Referência;</w:t>
      </w:r>
    </w:p>
    <w:p>
      <w:pPr>
        <w:pStyle w:val="Normal"/>
        <w:spacing w:lineRule="auto" w:line="276" w:before="57" w:after="57"/>
        <w:ind w:hanging="0" w:left="0" w:right="0"/>
        <w:jc w:val="both"/>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76" w:before="57" w:after="57"/>
        <w:ind w:hanging="0" w:left="0" w:right="0"/>
        <w:jc w:val="both"/>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lineRule="auto" w:line="276" w:before="57" w:after="57"/>
        <w:ind w:hanging="0" w:left="0" w:right="0"/>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lineRule="auto" w:line="276" w:before="57" w:after="57"/>
        <w:ind w:hanging="0" w:left="0" w:right="0"/>
        <w:jc w:val="center"/>
        <w:outlineLvl w:val="0"/>
        <w:rPr/>
      </w:pPr>
      <w:r>
        <w:rPr>
          <w:rFonts w:cs="Arial" w:ascii="Verdana" w:hAnsi="Verdana"/>
          <w:color w:val="000000"/>
          <w:sz w:val="20"/>
          <w:szCs w:val="20"/>
        </w:rPr>
        <w:t>São Gabriel da Palha/ES, 11 de março de 2024.</w:t>
      </w:r>
    </w:p>
    <w:p>
      <w:pPr>
        <w:pStyle w:val="Normal"/>
        <w:tabs>
          <w:tab w:val="clear" w:pos="708"/>
          <w:tab w:val="left" w:pos="1440" w:leader="none"/>
        </w:tabs>
        <w:snapToGrid w:val="false"/>
        <w:spacing w:lineRule="auto" w:line="276" w:before="57" w:after="57"/>
        <w:ind w:hanging="0" w:left="0" w:right="0"/>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57" w:after="57"/>
        <w:ind w:hanging="0" w:left="0" w:right="0"/>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76" w:before="57" w:after="57"/>
        <w:ind w:hanging="0" w:left="0" w:right="0"/>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76" w:before="57" w:after="57"/>
        <w:ind w:hanging="0" w:left="0" w:right="0"/>
        <w:jc w:val="center"/>
        <w:outlineLvl w:val="0"/>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Application>LibreOffice/24.2.6.2$Windows_X86_64 LibreOffice_project/ef66aa7e36a1bb8e65bfbc63aba53045a14d0871</Application>
  <AppVersion>15.0000</AppVersion>
  <Pages>18</Pages>
  <Words>8360</Words>
  <Characters>47282</Characters>
  <CharactersWithSpaces>55255</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2025-04-10T17:33:38Z</cp:lastPrinted>
  <dcterms:modified xsi:type="dcterms:W3CDTF">2025-04-24T16:50:10Z</dcterms:modified>
  <cp:revision>159</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